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m:oMath xmlns:mml="http://www.w3.org/1998/Math/MathML">
        <m:acc>
          <m:accPr>
            <m:chr m:val="⃗"/>
          </m:accPr>
          <m:e>
            <m:r>
              <w:rPr>
                <w:rFonts w:ascii="Cambria Math" w:hAnsi="Cambria Math" w:cs="Cambria Math" w:eastAsia="宋体"/>
                <w:sz w:val="24"/>
              </w:rPr>
              <m:t>PQ</m:t>
            </m:r>
          </m:e>
        </m:acc>
        <m:r>
          <w:rPr>
            <w:rFonts w:ascii="Cambria Math" w:hAnsi="Cambria Math" w:cs="Cambria Math" w:eastAsia="宋体"/>
            <w:sz w:val="24"/>
          </w:rPr>
          <m:t>=</m:t>
        </m:r>
        <m:d>
          <m:dPr>
            <m:sepChr m:val=""/>
          </m:dPr>
          <m:e>
            <m:eqArr>
              <m:e>
                <m:r>
                  <w:rPr>
                    <w:rFonts w:ascii="Cambria Math" w:hAnsi="Cambria Math" w:cs="Cambria Math" w:eastAsia="宋体"/>
                    <w:sz w:val="24"/>
                  </w:rPr>
                  <m:t>−3</m:t>
                </m:r>
              </m:e>
              <m:e>
                <m:r>
                  <w:rPr>
                    <w:rFonts w:ascii="Cambria Math" w:hAnsi="Cambria Math" w:cs="Cambria Math" w:eastAsia="宋体"/>
                    <w:sz w:val="24"/>
                  </w:rPr>
                  <m:t>7</m:t>
                </m:r>
              </m:e>
            </m:eqArr>
          </m:e>
        </m:d>
      </m:oMath>
    </w:p>
    <w:sectPr w:rsidR="00FC693F" w:rsidRPr="0006063C" w:rsidSect="00034616">
      <w:pgSz w:w="11906" w:h="16838"/>
      <w:pgMar w:top="1304" w:right="1304" w:bottom="130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8" w:lineRule="auto" w:after="120"/>
    </w:pPr>
    <w:rPr>
      <w:rFonts w:ascii="Times New Roman" w:hAnsi="Times New Roman" w:eastAsia="宋体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348" w:lineRule="auto"/>
      <w:outlineLvl w:val="0"/>
    </w:pPr>
    <w:rPr>
      <w:rFonts w:asciiTheme="majorHAnsi" w:eastAsiaTheme="majorEastAsia" w:hAnsiTheme="majorHAnsi" w:cstheme="majorBidi" w:ascii="Times New Roman" w:hAnsi="Times New Roman" w:eastAsia="宋体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348" w:lineRule="auto"/>
      <w:outlineLvl w:val="1"/>
    </w:pPr>
    <w:rPr>
      <w:rFonts w:asciiTheme="majorHAnsi" w:eastAsiaTheme="majorEastAsia" w:hAnsiTheme="majorHAnsi" w:cstheme="majorBidi" w:ascii="Times New Roman" w:hAnsi="Times New Roman" w:eastAsia="宋体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348" w:lineRule="auto"/>
      <w:contextualSpacing/>
    </w:pPr>
    <w:rPr>
      <w:rFonts w:asciiTheme="majorHAnsi" w:eastAsiaTheme="majorEastAsia" w:hAnsiTheme="majorHAnsi" w:cstheme="majorBidi" w:ascii="Times New Roman" w:hAnsi="Times New Roman" w:eastAsia="宋体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单公式-向量矩阵</dc:title>
  <dc:subject>教学资料转换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